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78"/>
        <w:gridCol w:w="835"/>
        <w:gridCol w:w="835"/>
        <w:gridCol w:w="1703"/>
        <w:gridCol w:w="1699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bidi="ar"/>
              </w:rPr>
              <w:t>2023年凤凰陵园公墓装修工程投标清单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项目内容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金额（元）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安顺园、万瑞园小公墓装修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座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万安园、富贵园大方墓装修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座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万泰园大圆墓装修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座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840" w:hRule="atLeast"/>
        </w:trPr>
        <w:tc>
          <w:tcPr>
            <w:tcW w:w="35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合计（元）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exact"/>
        <w:ind w:right="1200"/>
        <w:jc w:val="center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M2Q5MjI2NDBkNjRjMWI1OTljNzI1MzU1OWE2MjYifQ=="/>
  </w:docVars>
  <w:rsids>
    <w:rsidRoot w:val="53F16E07"/>
    <w:rsid w:val="53F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2023-02-16T01:51:00Z</dcterms:created>
  <dc:creator>WPS_1511690976</dc:creator>
  <cp:lastModifiedBy>WPS_1511690976</cp:lastModifiedBy>
  <dcterms:modified xsi:type="dcterms:W3CDTF">2023-02-16T01:53:06Z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4DCCBEC9A6464338844BC2B1BC12ED57</vt:lpwstr>
  </property>
</Properties>
</file>